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F9" w:rsidRPr="00312BF9" w:rsidRDefault="00312BF9" w:rsidP="00312BF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Склонность к суицидальному поведению молодежи </w:t>
      </w:r>
    </w:p>
    <w:p w:rsidR="00312BF9" w:rsidRPr="00312BF9" w:rsidRDefault="00312BF9" w:rsidP="0031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наличие склонности к суицидальному поведению молодежи.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Комиссия по делам несовершеннолетних и защите прав.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февраль 2015 г.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МБУ Центр «Радуга»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последнее время наблюдается суицидальная тенденция среди молодых людей, в </w:t>
      </w:r>
      <w:r w:rsidR="00F929E8"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появилась необходимость выявления в поведении молодежи наличие риска демонстративной или истинной попытки суицида, для дальнейшей профилактической работы.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рационального подхода при осуществлении профилактики важно учитывать особенности </w:t>
      </w:r>
      <w:proofErr w:type="spellStart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микросоциума</w:t>
      </w:r>
      <w:proofErr w:type="spellEnd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данном случае, особенности молодых людей, проживающих в различных микрорайонах Советского района.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суицидальное поведение молодежи от 14 до 18 лет Советского района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</w:t>
      </w:r>
      <w:r w:rsidR="00F929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силу возрастных особенностей, эмоциональный фон молодых людей неустойчив и в большинстве случаев их суицидальное поведение носит демонстративный характер.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BF9" w:rsidRPr="00312BF9" w:rsidRDefault="00312BF9" w:rsidP="00312B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методику и провести эмпирическое исследование;</w:t>
      </w:r>
    </w:p>
    <w:p w:rsidR="00312BF9" w:rsidRPr="00312BF9" w:rsidRDefault="00312BF9" w:rsidP="00312B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данных.  </w:t>
      </w:r>
    </w:p>
    <w:p w:rsidR="00312BF9" w:rsidRPr="00312BF9" w:rsidRDefault="00312BF9" w:rsidP="00312B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использовались следующие </w:t>
      </w: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BF9" w:rsidRPr="00312BF9" w:rsidRDefault="00312BF9" w:rsidP="00312B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Патохарактерологический диагностический опросник (ПДО) А.Е. Личко.</w:t>
      </w:r>
    </w:p>
    <w:p w:rsidR="00312BF9" w:rsidRPr="00312BF9" w:rsidRDefault="00312BF9" w:rsidP="00312B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Выборку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учащаяся молодежь женского и мужского пола в возрасте от 14 до 18 лет в количестве 100 человек.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исследования: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эмпирического исследования была проведена диагностика исследуемой выборки и ее ранжирование по критериям, которыми служили </w:t>
      </w:r>
      <w:r w:rsidRP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микрорайоны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</w:t>
      </w:r>
      <w:r w:rsidRP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Левые </w:t>
      </w:r>
      <w:proofErr w:type="spellStart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Чёмы</w:t>
      </w:r>
      <w:proofErr w:type="spellEnd"/>
      <w:r w:rsidRP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Правые </w:t>
      </w:r>
      <w:proofErr w:type="spellStart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Чёмы</w:t>
      </w:r>
      <w:proofErr w:type="spellEnd"/>
      <w:r w:rsidRP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Нижняя Ельцовка, Верхняя Зона.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нашего исследование было выявление показателей среди микрорайонов Академгородка по склонностям к суицидальной попытки: истинной и демонстративной, а также неопределенной. Результаты нашего исследования показали следующее: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диаграммам видно, что в трех микрорайонах: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Левые </w:t>
      </w:r>
      <w:proofErr w:type="spellStart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Чёмы</w:t>
      </w:r>
      <w:proofErr w:type="spellEnd"/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1), Нижняя Ельцовка (Рис. 3), Верхняя Зона (Рис. 4) из четырех, лидирующий процент у склонности к демонстративной попытке суицида. А именно,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Левые </w:t>
      </w:r>
      <w:proofErr w:type="spellStart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Чёмы</w:t>
      </w:r>
      <w:proofErr w:type="spellEnd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у 69% испытуемых (Рис.1), Нижняя Ельцовка составляет - 39% (Рис. 3), Верхняя Зона – 63% испытуемых. (Рис. 4).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Противоположный результат показал микрорайон </w:t>
      </w:r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Правые </w:t>
      </w:r>
      <w:proofErr w:type="spellStart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Чёмы</w:t>
      </w:r>
      <w:proofErr w:type="spellEnd"/>
      <w:r w:rsidR="0033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(Рис. 2), где лидирует склонность к истинной попытке суицида у 51% испытуемых.  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12BF9" w:rsidRPr="00312BF9" w:rsidRDefault="00312BF9" w:rsidP="0031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диагностики.</w:t>
      </w:r>
    </w:p>
    <w:p w:rsidR="00312BF9" w:rsidRPr="00312BF9" w:rsidRDefault="00312BF9" w:rsidP="0031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</w:t>
      </w:r>
      <w:r w:rsidR="009500A9"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SEQ Рисунок \* ARABIC </w:instrText>
      </w:r>
      <w:r w:rsidR="009500A9"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312B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9500A9"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Микрорайон </w:t>
      </w:r>
      <w:r w:rsidR="0033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Левые </w:t>
      </w:r>
      <w:proofErr w:type="spellStart"/>
      <w:r w:rsidR="0033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Чёмы</w:t>
      </w:r>
      <w:proofErr w:type="spellEnd"/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2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</w:t>
      </w: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суицидальной попытк</w:t>
      </w:r>
      <w:r w:rsidR="00F92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40671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2BF9" w:rsidRPr="00312BF9" w:rsidRDefault="00312BF9" w:rsidP="00312BF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Рисунок </w: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SEQ Рисунок \* ARABIC </w:instrTex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312BF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Микрорайон </w:t>
      </w:r>
      <w:r w:rsidR="0033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Правые </w:t>
      </w:r>
      <w:proofErr w:type="spellStart"/>
      <w:r w:rsidR="0033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Чёмы</w:t>
      </w:r>
      <w:proofErr w:type="spellEnd"/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92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</w:t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суицидальной попытк</w:t>
      </w:r>
      <w:r w:rsidR="00F92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312BF9" w:rsidRPr="00312BF9" w:rsidRDefault="00312BF9" w:rsidP="00312BF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486400" cy="31527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1E" w:rsidRDefault="00312BF9" w:rsidP="00337D1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Рисунок </w: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SEQ Рисунок \* ARABIC </w:instrTex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312BF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</w: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Микрорайон Нижняя Ельцовка.</w:t>
      </w:r>
    </w:p>
    <w:p w:rsidR="00312BF9" w:rsidRPr="00312BF9" w:rsidRDefault="00F929E8" w:rsidP="00337D1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суицидальной попытки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4956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9" w:rsidRPr="00312BF9" w:rsidRDefault="00312BF9" w:rsidP="00312BF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Рисунок </w: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SEQ Рисунок \* ARABIC </w:instrTex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312BF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4</w:t>
      </w:r>
      <w:r w:rsidR="009500A9"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Микрорайон Верхняя зона. </w:t>
      </w:r>
      <w:r w:rsidR="00F92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</w:t>
      </w:r>
      <w:r w:rsidRPr="0031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суицидальной попытк</w:t>
      </w:r>
      <w:r w:rsidR="00F92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18924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29E8" w:rsidRDefault="00F929E8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E8" w:rsidRDefault="00F929E8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E8" w:rsidRDefault="00F929E8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E8" w:rsidRPr="00312BF9" w:rsidRDefault="00F929E8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E8" w:rsidRDefault="00F929E8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E8" w:rsidRPr="00312BF9" w:rsidRDefault="00F929E8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9" w:rsidRPr="00312BF9" w:rsidRDefault="00312BF9" w:rsidP="00312B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1.</w:t>
      </w:r>
    </w:p>
    <w:p w:rsidR="00312BF9" w:rsidRPr="00312BF9" w:rsidRDefault="00312BF9" w:rsidP="00312B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показатели по микрорайонам </w:t>
      </w:r>
      <w:r w:rsidR="00DC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</w:t>
      </w: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2198"/>
        <w:gridCol w:w="2840"/>
        <w:gridCol w:w="2535"/>
      </w:tblGrid>
      <w:tr w:rsidR="00312BF9" w:rsidRPr="00312BF9" w:rsidTr="000C2E3B">
        <w:trPr>
          <w:trHeight w:val="552"/>
        </w:trPr>
        <w:tc>
          <w:tcPr>
            <w:tcW w:w="2135" w:type="dxa"/>
            <w:shd w:val="clear" w:color="auto" w:fill="auto"/>
          </w:tcPr>
          <w:p w:rsidR="00312BF9" w:rsidRPr="00312BF9" w:rsidRDefault="00F929E8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попытки</w:t>
            </w:r>
          </w:p>
        </w:tc>
        <w:tc>
          <w:tcPr>
            <w:tcW w:w="2495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Истинная</w:t>
            </w:r>
          </w:p>
        </w:tc>
        <w:tc>
          <w:tcPr>
            <w:tcW w:w="3027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Демонстративная</w:t>
            </w:r>
          </w:p>
        </w:tc>
        <w:tc>
          <w:tcPr>
            <w:tcW w:w="2702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Неопределенно</w:t>
            </w:r>
          </w:p>
        </w:tc>
      </w:tr>
      <w:tr w:rsidR="00312BF9" w:rsidRPr="00312BF9" w:rsidTr="000C2E3B">
        <w:trPr>
          <w:trHeight w:val="289"/>
        </w:trPr>
        <w:tc>
          <w:tcPr>
            <w:tcW w:w="2135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95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3027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2702" w:type="dxa"/>
            <w:shd w:val="clear" w:color="auto" w:fill="auto"/>
          </w:tcPr>
          <w:p w:rsidR="00312BF9" w:rsidRPr="00312BF9" w:rsidRDefault="00312BF9" w:rsidP="0031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</w:tbl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9" w:rsidRPr="00312BF9" w:rsidRDefault="00312BF9" w:rsidP="0031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показателям среди всех испытуемых по </w:t>
      </w:r>
      <w:r w:rsidRPr="00DC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микрорайонам </w:t>
      </w:r>
      <w:r w:rsidR="00DC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 </w:t>
      </w:r>
      <w:r w:rsidRPr="00DC16F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(Таб.</w:t>
      </w:r>
      <w:r w:rsidR="00CC2E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1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 что лидирует демонстративная склонность к суицидальной попытке</w:t>
      </w:r>
      <w:r w:rsidR="0066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29E8" w:rsidRPr="00F929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привлечь к себе внимание, добиться каких-то преимуществ, избавиться от грозящих неприятностей.</w:t>
      </w:r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эмпирических и диагностических данных, мы заключаем, что возраст от 14 до 18 лет является периодом формирования психологических  новообразований,  продолжением физиологических  изменений, возрастных кризисов, наличием возрастных особенностей, и  в связи, с чем эмоциональный фон молодого человека нестабилен - ему свойственна изменчивость настроения, недостаточность навыка саморегуляции, адекватного выражения негативных эмоций, стремление к независимости.</w:t>
      </w:r>
      <w:proofErr w:type="gramEnd"/>
      <w:r w:rsidRP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наша цель достигнута, задачи решены, гипотеза доказана.    </w:t>
      </w:r>
    </w:p>
    <w:p w:rsidR="009118C0" w:rsidRPr="00312BF9" w:rsidRDefault="009118C0">
      <w:pPr>
        <w:rPr>
          <w:rFonts w:ascii="Times New Roman" w:hAnsi="Times New Roman" w:cs="Times New Roman"/>
          <w:sz w:val="28"/>
          <w:szCs w:val="28"/>
        </w:rPr>
      </w:pPr>
    </w:p>
    <w:sectPr w:rsidR="009118C0" w:rsidRPr="00312BF9" w:rsidSect="0095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0382A"/>
    <w:multiLevelType w:val="hybridMultilevel"/>
    <w:tmpl w:val="C882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3E2"/>
    <w:rsid w:val="00000A7A"/>
    <w:rsid w:val="0001582C"/>
    <w:rsid w:val="000170DB"/>
    <w:rsid w:val="00021CFD"/>
    <w:rsid w:val="00024432"/>
    <w:rsid w:val="00024E7E"/>
    <w:rsid w:val="000315D7"/>
    <w:rsid w:val="000330C3"/>
    <w:rsid w:val="000338AA"/>
    <w:rsid w:val="00036059"/>
    <w:rsid w:val="00041179"/>
    <w:rsid w:val="00043653"/>
    <w:rsid w:val="000536C6"/>
    <w:rsid w:val="00056D9C"/>
    <w:rsid w:val="000610D9"/>
    <w:rsid w:val="0006624E"/>
    <w:rsid w:val="00072210"/>
    <w:rsid w:val="00073401"/>
    <w:rsid w:val="00077AC7"/>
    <w:rsid w:val="00081581"/>
    <w:rsid w:val="00094F67"/>
    <w:rsid w:val="000A39AD"/>
    <w:rsid w:val="000B4609"/>
    <w:rsid w:val="000B4FE9"/>
    <w:rsid w:val="000B574E"/>
    <w:rsid w:val="000B7367"/>
    <w:rsid w:val="000C0918"/>
    <w:rsid w:val="000C5E50"/>
    <w:rsid w:val="000D2924"/>
    <w:rsid w:val="000D42B5"/>
    <w:rsid w:val="000D7C4E"/>
    <w:rsid w:val="000E2C34"/>
    <w:rsid w:val="000E584D"/>
    <w:rsid w:val="000E5C62"/>
    <w:rsid w:val="000F0CC9"/>
    <w:rsid w:val="000F4F2D"/>
    <w:rsid w:val="001043CA"/>
    <w:rsid w:val="00110C3F"/>
    <w:rsid w:val="00123918"/>
    <w:rsid w:val="00127963"/>
    <w:rsid w:val="00131108"/>
    <w:rsid w:val="00131483"/>
    <w:rsid w:val="00131625"/>
    <w:rsid w:val="00133344"/>
    <w:rsid w:val="001334AB"/>
    <w:rsid w:val="00135354"/>
    <w:rsid w:val="00146732"/>
    <w:rsid w:val="00147D59"/>
    <w:rsid w:val="00153BD6"/>
    <w:rsid w:val="001575A0"/>
    <w:rsid w:val="00160C24"/>
    <w:rsid w:val="00163651"/>
    <w:rsid w:val="00166494"/>
    <w:rsid w:val="00170FC3"/>
    <w:rsid w:val="0017215A"/>
    <w:rsid w:val="00175216"/>
    <w:rsid w:val="001752A4"/>
    <w:rsid w:val="00181636"/>
    <w:rsid w:val="0018214E"/>
    <w:rsid w:val="00183457"/>
    <w:rsid w:val="00192096"/>
    <w:rsid w:val="001A1CA1"/>
    <w:rsid w:val="001A280D"/>
    <w:rsid w:val="001A3265"/>
    <w:rsid w:val="001A4F58"/>
    <w:rsid w:val="001A57C4"/>
    <w:rsid w:val="001A74AA"/>
    <w:rsid w:val="001B2851"/>
    <w:rsid w:val="001B599B"/>
    <w:rsid w:val="001C2A88"/>
    <w:rsid w:val="001C7F46"/>
    <w:rsid w:val="001D115C"/>
    <w:rsid w:val="001D4FFC"/>
    <w:rsid w:val="001D6CAD"/>
    <w:rsid w:val="001E7FE4"/>
    <w:rsid w:val="001F595C"/>
    <w:rsid w:val="001F6879"/>
    <w:rsid w:val="00206910"/>
    <w:rsid w:val="00211673"/>
    <w:rsid w:val="00226571"/>
    <w:rsid w:val="00230952"/>
    <w:rsid w:val="002353E9"/>
    <w:rsid w:val="00252630"/>
    <w:rsid w:val="002537AF"/>
    <w:rsid w:val="002607CA"/>
    <w:rsid w:val="00265E05"/>
    <w:rsid w:val="00274D3D"/>
    <w:rsid w:val="002754BE"/>
    <w:rsid w:val="00284471"/>
    <w:rsid w:val="00296B67"/>
    <w:rsid w:val="00297B16"/>
    <w:rsid w:val="002A0F9E"/>
    <w:rsid w:val="002A1E8F"/>
    <w:rsid w:val="002B3C13"/>
    <w:rsid w:val="002C2E41"/>
    <w:rsid w:val="002D3785"/>
    <w:rsid w:val="002D680D"/>
    <w:rsid w:val="002D7BCB"/>
    <w:rsid w:val="002E5491"/>
    <w:rsid w:val="002E6C02"/>
    <w:rsid w:val="002F4050"/>
    <w:rsid w:val="002F58FF"/>
    <w:rsid w:val="00303102"/>
    <w:rsid w:val="003063ED"/>
    <w:rsid w:val="00307537"/>
    <w:rsid w:val="00312BF9"/>
    <w:rsid w:val="00313C1E"/>
    <w:rsid w:val="00323DAF"/>
    <w:rsid w:val="003247FD"/>
    <w:rsid w:val="00326431"/>
    <w:rsid w:val="003316D0"/>
    <w:rsid w:val="00337122"/>
    <w:rsid w:val="00337D1E"/>
    <w:rsid w:val="00341471"/>
    <w:rsid w:val="0034226B"/>
    <w:rsid w:val="00346152"/>
    <w:rsid w:val="00366A79"/>
    <w:rsid w:val="0037154E"/>
    <w:rsid w:val="00374F70"/>
    <w:rsid w:val="00375953"/>
    <w:rsid w:val="00375E94"/>
    <w:rsid w:val="003766E0"/>
    <w:rsid w:val="00381AAD"/>
    <w:rsid w:val="003832FC"/>
    <w:rsid w:val="0038749A"/>
    <w:rsid w:val="00390881"/>
    <w:rsid w:val="00392756"/>
    <w:rsid w:val="003A10AD"/>
    <w:rsid w:val="003A79DF"/>
    <w:rsid w:val="003B0DFD"/>
    <w:rsid w:val="003B2995"/>
    <w:rsid w:val="003B2F84"/>
    <w:rsid w:val="003C171F"/>
    <w:rsid w:val="003C2B2F"/>
    <w:rsid w:val="003C76DE"/>
    <w:rsid w:val="003D2E39"/>
    <w:rsid w:val="003E1C3D"/>
    <w:rsid w:val="003E1DBE"/>
    <w:rsid w:val="003F1634"/>
    <w:rsid w:val="004020D2"/>
    <w:rsid w:val="00406C82"/>
    <w:rsid w:val="00410717"/>
    <w:rsid w:val="0041095D"/>
    <w:rsid w:val="00452AC0"/>
    <w:rsid w:val="00454BD0"/>
    <w:rsid w:val="00456DD2"/>
    <w:rsid w:val="00466013"/>
    <w:rsid w:val="00472352"/>
    <w:rsid w:val="00476C51"/>
    <w:rsid w:val="00482F67"/>
    <w:rsid w:val="00486102"/>
    <w:rsid w:val="00492238"/>
    <w:rsid w:val="00497676"/>
    <w:rsid w:val="004A1080"/>
    <w:rsid w:val="004A5A74"/>
    <w:rsid w:val="004B00EB"/>
    <w:rsid w:val="004B17A2"/>
    <w:rsid w:val="004B1F59"/>
    <w:rsid w:val="004B3236"/>
    <w:rsid w:val="004C08B3"/>
    <w:rsid w:val="004C1110"/>
    <w:rsid w:val="004D3092"/>
    <w:rsid w:val="004D492C"/>
    <w:rsid w:val="004D53D2"/>
    <w:rsid w:val="004D6BEB"/>
    <w:rsid w:val="004E1423"/>
    <w:rsid w:val="004E63E2"/>
    <w:rsid w:val="004F6484"/>
    <w:rsid w:val="00500F6C"/>
    <w:rsid w:val="00510BF5"/>
    <w:rsid w:val="005120D1"/>
    <w:rsid w:val="00513296"/>
    <w:rsid w:val="005178EC"/>
    <w:rsid w:val="0052056B"/>
    <w:rsid w:val="005217E4"/>
    <w:rsid w:val="0052187A"/>
    <w:rsid w:val="0052513A"/>
    <w:rsid w:val="00532802"/>
    <w:rsid w:val="005461C6"/>
    <w:rsid w:val="005509DD"/>
    <w:rsid w:val="00550A89"/>
    <w:rsid w:val="00552DFA"/>
    <w:rsid w:val="00555312"/>
    <w:rsid w:val="00557CAE"/>
    <w:rsid w:val="0056186C"/>
    <w:rsid w:val="0058259C"/>
    <w:rsid w:val="00586965"/>
    <w:rsid w:val="005926C1"/>
    <w:rsid w:val="005A35C9"/>
    <w:rsid w:val="005B55AB"/>
    <w:rsid w:val="005C2E60"/>
    <w:rsid w:val="005C3D72"/>
    <w:rsid w:val="005C4903"/>
    <w:rsid w:val="005E094D"/>
    <w:rsid w:val="005E0996"/>
    <w:rsid w:val="005E273B"/>
    <w:rsid w:val="005E4898"/>
    <w:rsid w:val="005E79FC"/>
    <w:rsid w:val="005F18BC"/>
    <w:rsid w:val="005F1AE1"/>
    <w:rsid w:val="005F4820"/>
    <w:rsid w:val="00601D7B"/>
    <w:rsid w:val="006061F5"/>
    <w:rsid w:val="00607A64"/>
    <w:rsid w:val="00611BFF"/>
    <w:rsid w:val="00612546"/>
    <w:rsid w:val="006125AB"/>
    <w:rsid w:val="00613B54"/>
    <w:rsid w:val="0062471C"/>
    <w:rsid w:val="00627AEB"/>
    <w:rsid w:val="00631338"/>
    <w:rsid w:val="00642785"/>
    <w:rsid w:val="00646D36"/>
    <w:rsid w:val="00652CC4"/>
    <w:rsid w:val="006537CB"/>
    <w:rsid w:val="006541BD"/>
    <w:rsid w:val="0066108C"/>
    <w:rsid w:val="0066267E"/>
    <w:rsid w:val="00662E7C"/>
    <w:rsid w:val="00666E0A"/>
    <w:rsid w:val="00666EA7"/>
    <w:rsid w:val="00666F21"/>
    <w:rsid w:val="00672CB2"/>
    <w:rsid w:val="00673629"/>
    <w:rsid w:val="006766C9"/>
    <w:rsid w:val="0068065B"/>
    <w:rsid w:val="00683368"/>
    <w:rsid w:val="006842B8"/>
    <w:rsid w:val="006863FE"/>
    <w:rsid w:val="00690C15"/>
    <w:rsid w:val="00697615"/>
    <w:rsid w:val="006A0EDC"/>
    <w:rsid w:val="006A5C85"/>
    <w:rsid w:val="006B78FC"/>
    <w:rsid w:val="006C0BA0"/>
    <w:rsid w:val="006C2ABD"/>
    <w:rsid w:val="006C48BD"/>
    <w:rsid w:val="006C7097"/>
    <w:rsid w:val="006D04C9"/>
    <w:rsid w:val="006D0BBD"/>
    <w:rsid w:val="006E1F87"/>
    <w:rsid w:val="006E2611"/>
    <w:rsid w:val="006E6404"/>
    <w:rsid w:val="006F116B"/>
    <w:rsid w:val="006F6F60"/>
    <w:rsid w:val="007010CB"/>
    <w:rsid w:val="00702CFE"/>
    <w:rsid w:val="007122EA"/>
    <w:rsid w:val="00713F31"/>
    <w:rsid w:val="007258F6"/>
    <w:rsid w:val="00733BEA"/>
    <w:rsid w:val="007367F8"/>
    <w:rsid w:val="00762E19"/>
    <w:rsid w:val="00763086"/>
    <w:rsid w:val="00763B81"/>
    <w:rsid w:val="00771392"/>
    <w:rsid w:val="007756D7"/>
    <w:rsid w:val="00782C2E"/>
    <w:rsid w:val="00782DDE"/>
    <w:rsid w:val="00793D3A"/>
    <w:rsid w:val="00794619"/>
    <w:rsid w:val="007A1DFC"/>
    <w:rsid w:val="007B03D5"/>
    <w:rsid w:val="007B1C34"/>
    <w:rsid w:val="007C2590"/>
    <w:rsid w:val="007C3F10"/>
    <w:rsid w:val="007C78B7"/>
    <w:rsid w:val="007D22D2"/>
    <w:rsid w:val="007D2952"/>
    <w:rsid w:val="007E2CCA"/>
    <w:rsid w:val="007E5E21"/>
    <w:rsid w:val="007F2EF6"/>
    <w:rsid w:val="007F4454"/>
    <w:rsid w:val="007F6ACB"/>
    <w:rsid w:val="00804DDF"/>
    <w:rsid w:val="00804E03"/>
    <w:rsid w:val="008072B3"/>
    <w:rsid w:val="008125F3"/>
    <w:rsid w:val="00816E65"/>
    <w:rsid w:val="00820FCE"/>
    <w:rsid w:val="00824C13"/>
    <w:rsid w:val="00825BEB"/>
    <w:rsid w:val="00827CE6"/>
    <w:rsid w:val="00832EAA"/>
    <w:rsid w:val="00832FED"/>
    <w:rsid w:val="00834A8E"/>
    <w:rsid w:val="00840A90"/>
    <w:rsid w:val="00844764"/>
    <w:rsid w:val="0085043E"/>
    <w:rsid w:val="00855AE3"/>
    <w:rsid w:val="00862923"/>
    <w:rsid w:val="008673CD"/>
    <w:rsid w:val="0087036B"/>
    <w:rsid w:val="00870A16"/>
    <w:rsid w:val="00881AB6"/>
    <w:rsid w:val="00894D16"/>
    <w:rsid w:val="00897C4B"/>
    <w:rsid w:val="008A0AB4"/>
    <w:rsid w:val="008B6972"/>
    <w:rsid w:val="008C0337"/>
    <w:rsid w:val="008C476A"/>
    <w:rsid w:val="008C5A7D"/>
    <w:rsid w:val="008D75F7"/>
    <w:rsid w:val="008F2120"/>
    <w:rsid w:val="009118C0"/>
    <w:rsid w:val="009128D6"/>
    <w:rsid w:val="00917ABC"/>
    <w:rsid w:val="00920B38"/>
    <w:rsid w:val="00926739"/>
    <w:rsid w:val="00931E1D"/>
    <w:rsid w:val="00947DC2"/>
    <w:rsid w:val="009500A9"/>
    <w:rsid w:val="00951253"/>
    <w:rsid w:val="009533BC"/>
    <w:rsid w:val="009601CC"/>
    <w:rsid w:val="00965336"/>
    <w:rsid w:val="009654B5"/>
    <w:rsid w:val="00982104"/>
    <w:rsid w:val="00984A9F"/>
    <w:rsid w:val="00986E4E"/>
    <w:rsid w:val="009907A2"/>
    <w:rsid w:val="009974B9"/>
    <w:rsid w:val="00997E27"/>
    <w:rsid w:val="00997E8A"/>
    <w:rsid w:val="009A0FAE"/>
    <w:rsid w:val="009A14C0"/>
    <w:rsid w:val="009A2054"/>
    <w:rsid w:val="009A66A8"/>
    <w:rsid w:val="009A77CC"/>
    <w:rsid w:val="009A7DAA"/>
    <w:rsid w:val="009B10E0"/>
    <w:rsid w:val="009B2DDB"/>
    <w:rsid w:val="009B2F2F"/>
    <w:rsid w:val="009B6C81"/>
    <w:rsid w:val="009C0328"/>
    <w:rsid w:val="009C0D67"/>
    <w:rsid w:val="009C1A69"/>
    <w:rsid w:val="009C3501"/>
    <w:rsid w:val="009C3EA7"/>
    <w:rsid w:val="009C54DD"/>
    <w:rsid w:val="009C76E8"/>
    <w:rsid w:val="009D02D4"/>
    <w:rsid w:val="009D275C"/>
    <w:rsid w:val="009E0AA5"/>
    <w:rsid w:val="009E1545"/>
    <w:rsid w:val="009E7EF6"/>
    <w:rsid w:val="009F1A1D"/>
    <w:rsid w:val="00A00E6F"/>
    <w:rsid w:val="00A05BD2"/>
    <w:rsid w:val="00A16084"/>
    <w:rsid w:val="00A1667B"/>
    <w:rsid w:val="00A17909"/>
    <w:rsid w:val="00A17E4A"/>
    <w:rsid w:val="00A21685"/>
    <w:rsid w:val="00A22D81"/>
    <w:rsid w:val="00A31A8C"/>
    <w:rsid w:val="00A335C3"/>
    <w:rsid w:val="00A35BD4"/>
    <w:rsid w:val="00A450FD"/>
    <w:rsid w:val="00A46DAC"/>
    <w:rsid w:val="00A472F5"/>
    <w:rsid w:val="00A50F50"/>
    <w:rsid w:val="00A53653"/>
    <w:rsid w:val="00A552C8"/>
    <w:rsid w:val="00A57404"/>
    <w:rsid w:val="00A66E0A"/>
    <w:rsid w:val="00A679FF"/>
    <w:rsid w:val="00A7050B"/>
    <w:rsid w:val="00A766D6"/>
    <w:rsid w:val="00A8400D"/>
    <w:rsid w:val="00A8539B"/>
    <w:rsid w:val="00A92EFC"/>
    <w:rsid w:val="00A93EC8"/>
    <w:rsid w:val="00AA527C"/>
    <w:rsid w:val="00AB1713"/>
    <w:rsid w:val="00AB34D9"/>
    <w:rsid w:val="00AC0FFE"/>
    <w:rsid w:val="00AC174C"/>
    <w:rsid w:val="00AC31B9"/>
    <w:rsid w:val="00AC3657"/>
    <w:rsid w:val="00AC4E9E"/>
    <w:rsid w:val="00AC6760"/>
    <w:rsid w:val="00AD0519"/>
    <w:rsid w:val="00AD6A3A"/>
    <w:rsid w:val="00AD75F3"/>
    <w:rsid w:val="00AD76B5"/>
    <w:rsid w:val="00AE6626"/>
    <w:rsid w:val="00AF00E9"/>
    <w:rsid w:val="00B05226"/>
    <w:rsid w:val="00B111ED"/>
    <w:rsid w:val="00B12D7A"/>
    <w:rsid w:val="00B15809"/>
    <w:rsid w:val="00B203C0"/>
    <w:rsid w:val="00B245DB"/>
    <w:rsid w:val="00B2511E"/>
    <w:rsid w:val="00B3268C"/>
    <w:rsid w:val="00B3348B"/>
    <w:rsid w:val="00B33992"/>
    <w:rsid w:val="00B416DF"/>
    <w:rsid w:val="00B44BB0"/>
    <w:rsid w:val="00B46749"/>
    <w:rsid w:val="00B46C5E"/>
    <w:rsid w:val="00B46F44"/>
    <w:rsid w:val="00B528C4"/>
    <w:rsid w:val="00B55F2C"/>
    <w:rsid w:val="00B60FB0"/>
    <w:rsid w:val="00B62279"/>
    <w:rsid w:val="00B66266"/>
    <w:rsid w:val="00B66C9D"/>
    <w:rsid w:val="00B67D1D"/>
    <w:rsid w:val="00B74D15"/>
    <w:rsid w:val="00B7535D"/>
    <w:rsid w:val="00B87DD9"/>
    <w:rsid w:val="00B9509F"/>
    <w:rsid w:val="00B961BB"/>
    <w:rsid w:val="00B97133"/>
    <w:rsid w:val="00BA06D8"/>
    <w:rsid w:val="00BA63FD"/>
    <w:rsid w:val="00BA7B12"/>
    <w:rsid w:val="00BB0A99"/>
    <w:rsid w:val="00BB5A2C"/>
    <w:rsid w:val="00BB6127"/>
    <w:rsid w:val="00BB7831"/>
    <w:rsid w:val="00BC0A78"/>
    <w:rsid w:val="00BD1DD1"/>
    <w:rsid w:val="00BD4F30"/>
    <w:rsid w:val="00BE5384"/>
    <w:rsid w:val="00BF15D3"/>
    <w:rsid w:val="00BF2F18"/>
    <w:rsid w:val="00BF42B2"/>
    <w:rsid w:val="00BF5673"/>
    <w:rsid w:val="00BF70C0"/>
    <w:rsid w:val="00C01F33"/>
    <w:rsid w:val="00C05329"/>
    <w:rsid w:val="00C054C2"/>
    <w:rsid w:val="00C05D4C"/>
    <w:rsid w:val="00C0630A"/>
    <w:rsid w:val="00C140AD"/>
    <w:rsid w:val="00C241E8"/>
    <w:rsid w:val="00C3039D"/>
    <w:rsid w:val="00C32F22"/>
    <w:rsid w:val="00C33E0E"/>
    <w:rsid w:val="00C341E5"/>
    <w:rsid w:val="00C35D57"/>
    <w:rsid w:val="00C41735"/>
    <w:rsid w:val="00C41E5C"/>
    <w:rsid w:val="00C4673E"/>
    <w:rsid w:val="00C50A0A"/>
    <w:rsid w:val="00C51E6B"/>
    <w:rsid w:val="00C52881"/>
    <w:rsid w:val="00C52CF3"/>
    <w:rsid w:val="00C53CB6"/>
    <w:rsid w:val="00C5692B"/>
    <w:rsid w:val="00C64ED9"/>
    <w:rsid w:val="00C75DDF"/>
    <w:rsid w:val="00C77014"/>
    <w:rsid w:val="00C778BE"/>
    <w:rsid w:val="00C81FC8"/>
    <w:rsid w:val="00C82685"/>
    <w:rsid w:val="00C82BEF"/>
    <w:rsid w:val="00C835A5"/>
    <w:rsid w:val="00C86927"/>
    <w:rsid w:val="00C90197"/>
    <w:rsid w:val="00C90835"/>
    <w:rsid w:val="00C93DF3"/>
    <w:rsid w:val="00C96187"/>
    <w:rsid w:val="00CA5998"/>
    <w:rsid w:val="00CB47B6"/>
    <w:rsid w:val="00CC0B45"/>
    <w:rsid w:val="00CC1FE8"/>
    <w:rsid w:val="00CC2E68"/>
    <w:rsid w:val="00CC5083"/>
    <w:rsid w:val="00CD4F3C"/>
    <w:rsid w:val="00CD7BFB"/>
    <w:rsid w:val="00CE16B0"/>
    <w:rsid w:val="00CE426F"/>
    <w:rsid w:val="00CE54A1"/>
    <w:rsid w:val="00CE6B4A"/>
    <w:rsid w:val="00CE7C45"/>
    <w:rsid w:val="00CF0430"/>
    <w:rsid w:val="00CF3099"/>
    <w:rsid w:val="00CF4E36"/>
    <w:rsid w:val="00CF674B"/>
    <w:rsid w:val="00D05901"/>
    <w:rsid w:val="00D15DC4"/>
    <w:rsid w:val="00D16363"/>
    <w:rsid w:val="00D2343C"/>
    <w:rsid w:val="00D23A89"/>
    <w:rsid w:val="00D26E35"/>
    <w:rsid w:val="00D30482"/>
    <w:rsid w:val="00D32DF8"/>
    <w:rsid w:val="00D411D3"/>
    <w:rsid w:val="00D4351B"/>
    <w:rsid w:val="00D505F8"/>
    <w:rsid w:val="00D51B31"/>
    <w:rsid w:val="00D60188"/>
    <w:rsid w:val="00D6710F"/>
    <w:rsid w:val="00D73815"/>
    <w:rsid w:val="00D84588"/>
    <w:rsid w:val="00D8750A"/>
    <w:rsid w:val="00D94A30"/>
    <w:rsid w:val="00DA2BD2"/>
    <w:rsid w:val="00DA2F4D"/>
    <w:rsid w:val="00DA32F1"/>
    <w:rsid w:val="00DB58F8"/>
    <w:rsid w:val="00DB5D16"/>
    <w:rsid w:val="00DB76EA"/>
    <w:rsid w:val="00DC16FB"/>
    <w:rsid w:val="00DC4B8A"/>
    <w:rsid w:val="00DD0371"/>
    <w:rsid w:val="00DD45E8"/>
    <w:rsid w:val="00DE28CA"/>
    <w:rsid w:val="00DE5CA8"/>
    <w:rsid w:val="00DF0F58"/>
    <w:rsid w:val="00DF4B19"/>
    <w:rsid w:val="00E14C44"/>
    <w:rsid w:val="00E17D4E"/>
    <w:rsid w:val="00E22CA1"/>
    <w:rsid w:val="00E23A16"/>
    <w:rsid w:val="00E242CF"/>
    <w:rsid w:val="00E277A6"/>
    <w:rsid w:val="00E27A07"/>
    <w:rsid w:val="00E4212A"/>
    <w:rsid w:val="00E47896"/>
    <w:rsid w:val="00E53434"/>
    <w:rsid w:val="00E610FA"/>
    <w:rsid w:val="00E6595E"/>
    <w:rsid w:val="00E670E1"/>
    <w:rsid w:val="00E860D4"/>
    <w:rsid w:val="00E87D93"/>
    <w:rsid w:val="00EA7E14"/>
    <w:rsid w:val="00ED25D3"/>
    <w:rsid w:val="00ED4E0D"/>
    <w:rsid w:val="00ED7045"/>
    <w:rsid w:val="00EE01B0"/>
    <w:rsid w:val="00EF0646"/>
    <w:rsid w:val="00EF38DD"/>
    <w:rsid w:val="00EF639F"/>
    <w:rsid w:val="00EF704A"/>
    <w:rsid w:val="00EF7AEE"/>
    <w:rsid w:val="00F05C10"/>
    <w:rsid w:val="00F10764"/>
    <w:rsid w:val="00F143C1"/>
    <w:rsid w:val="00F207D3"/>
    <w:rsid w:val="00F23203"/>
    <w:rsid w:val="00F24B97"/>
    <w:rsid w:val="00F3796D"/>
    <w:rsid w:val="00F406FD"/>
    <w:rsid w:val="00F41A6A"/>
    <w:rsid w:val="00F61CB0"/>
    <w:rsid w:val="00F6628D"/>
    <w:rsid w:val="00F70596"/>
    <w:rsid w:val="00F71213"/>
    <w:rsid w:val="00F7723F"/>
    <w:rsid w:val="00F8407F"/>
    <w:rsid w:val="00F84536"/>
    <w:rsid w:val="00F858DB"/>
    <w:rsid w:val="00F85F5B"/>
    <w:rsid w:val="00F929E8"/>
    <w:rsid w:val="00F97645"/>
    <w:rsid w:val="00FA1235"/>
    <w:rsid w:val="00FA178D"/>
    <w:rsid w:val="00FA60CC"/>
    <w:rsid w:val="00FB014F"/>
    <w:rsid w:val="00FB32EA"/>
    <w:rsid w:val="00FB3E53"/>
    <w:rsid w:val="00FC71E6"/>
    <w:rsid w:val="00FD7222"/>
    <w:rsid w:val="00FF0E35"/>
    <w:rsid w:val="00FF203F"/>
    <w:rsid w:val="00FF60F3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407643312101917"/>
          <c:y val="0.35766423357664245"/>
          <c:w val="0.18949044585987276"/>
          <c:h val="0.2895377128953771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Демонстративная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Демонстративная 69%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7.9648853785085211E-4"/>
                  <c:y val="-6.408625151364278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Истинная 9%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1.1486570361085085E-2"/>
                  <c:y val="-6.6434318660987053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Неопределенно</a:t>
                    </a:r>
                  </a:p>
                  <a:p>
                    <a:r>
                      <a:rPr lang="ru-RU"/>
                      <a:t>22%</a:t>
                    </a:r>
                  </a:p>
                </c:rich>
              </c:tx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0.69000000000000028</c:v>
                </c:pt>
                <c:pt idx="1">
                  <c:v>9.0000000000000024E-2</c:v>
                </c:pt>
                <c:pt idx="2">
                  <c:v>0.22000000000000003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Истинная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Неопределенно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626294587983289"/>
          <c:y val="0.26763990267639887"/>
          <c:w val="0.36736757982531942"/>
          <c:h val="0.4622871046228711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4734982332155478"/>
          <c:y val="0.35714285714285737"/>
          <c:w val="0.1660777385159011"/>
          <c:h val="0.2919254658385094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Демонстративная</a:t>
                    </a:r>
                  </a:p>
                  <a:p>
                    <a:r>
                      <a:rPr lang="ru-RU"/>
                      <a:t>37%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Истинная 51%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Неопределенно 12%</a:t>
                    </a:r>
                  </a:p>
                </c:rich>
              </c:tx>
              <c:showVal val="1"/>
              <c:showCatName val="1"/>
            </c:dLbl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14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0.37000000000000011</c:v>
                </c:pt>
                <c:pt idx="1">
                  <c:v>0.51</c:v>
                </c:pt>
                <c:pt idx="2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14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14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  <c:showCatName val="1"/>
        </c:dLbls>
        <c:firstSliceAng val="0"/>
      </c:pieChart>
      <c:spPr>
        <a:solidFill>
          <a:srgbClr val="C0C0C0"/>
        </a:solidFill>
        <a:ln w="1266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077738515901063"/>
          <c:y val="0.27018633540372672"/>
          <c:w val="0.33215547703180232"/>
          <c:h val="0.45962732919254667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30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4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204419889502775"/>
          <c:y val="0.36134453781512615"/>
          <c:w val="0.18600368324125235"/>
          <c:h val="0.2829131652661065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Демонстративная 39%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Истинная 33%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Неопределенно</a:t>
                    </a:r>
                  </a:p>
                  <a:p>
                    <a:r>
                      <a:rPr lang="ru-RU"/>
                      <a:t> 28%</a:t>
                    </a:r>
                  </a:p>
                </c:rich>
              </c:tx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0.39000000000000012</c:v>
                </c:pt>
                <c:pt idx="1">
                  <c:v>0.33000000000000013</c:v>
                </c:pt>
                <c:pt idx="2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Неопределенно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  <c:showCatName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193370165745868"/>
          <c:y val="0.26610644257703076"/>
          <c:w val="0.3406998158379374"/>
          <c:h val="0.4649859943977593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4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763869132290192"/>
          <c:y val="0.27925531914893614"/>
          <c:w val="0.23897581792318628"/>
          <c:h val="0.4468085106382978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Демонстративная</a:t>
                    </a:r>
                  </a:p>
                  <a:p>
                    <a:r>
                      <a:rPr lang="ru-RU"/>
                      <a:t>63%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Истинная 13%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Неопределено 25%</a:t>
                    </a:r>
                  </a:p>
                </c:rich>
              </c:tx>
              <c:showVal val="1"/>
              <c:showCatName val="1"/>
            </c:dLbl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164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0.63000000000000023</c:v>
                </c:pt>
                <c:pt idx="1">
                  <c:v>0.13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164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164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Демонстративная</c:v>
                </c:pt>
                <c:pt idx="1">
                  <c:v>Истинная</c:v>
                </c:pt>
                <c:pt idx="2">
                  <c:v>Неопределено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  <c:showCatName val="1"/>
        </c:dLbls>
        <c:firstSliceAng val="0"/>
      </c:pieChart>
      <c:spPr>
        <a:solidFill>
          <a:srgbClr val="C0C0C0"/>
        </a:solidFill>
        <a:ln w="1266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804180485191285"/>
          <c:y val="0.41009341052020754"/>
          <c:w val="0.36626828623166302"/>
          <c:h val="0.2149578671087167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51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4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Белкина</cp:lastModifiedBy>
  <cp:revision>5</cp:revision>
  <dcterms:created xsi:type="dcterms:W3CDTF">2015-10-26T06:41:00Z</dcterms:created>
  <dcterms:modified xsi:type="dcterms:W3CDTF">2015-10-26T08:55:00Z</dcterms:modified>
</cp:coreProperties>
</file>